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FE548F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w:t>
      </w:r>
      <w:r w:rsidR="00EE3B31">
        <w:rPr>
          <w:rFonts w:eastAsia="Arial Unicode MS"/>
          <w:b/>
        </w:rPr>
        <w:t>1</w:t>
      </w:r>
    </w:p>
    <w:p w14:paraId="222DD452" w14:textId="4E74AA2E"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EE3B31">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F21D341" w14:textId="77777777" w:rsidR="00EE3B31" w:rsidRPr="00EE3B31" w:rsidRDefault="00EE3B31" w:rsidP="00CD407B">
      <w:pPr>
        <w:ind w:right="4"/>
        <w:jc w:val="both"/>
        <w:rPr>
          <w:b/>
          <w:color w:val="000000"/>
          <w:lang w:eastAsia="en-US"/>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EE3B31">
        <w:rPr>
          <w:b/>
          <w:color w:val="000000"/>
          <w:lang w:eastAsia="en-US"/>
        </w:rPr>
        <w:t>Par grozījumiem Madonas novada pašvaldības domes 29.09.2022. lēmuma Nr. 653 “Par Madonas novada pašvaldības maksas pakalpojumu cenrāža apstiprināšanu” 7. pielikumā</w:t>
      </w:r>
    </w:p>
    <w:p w14:paraId="2F2D7AFD" w14:textId="77777777" w:rsidR="00EE3B31" w:rsidRPr="00EE3B31" w:rsidRDefault="00EE3B31" w:rsidP="00CD407B">
      <w:pPr>
        <w:widowControl w:val="0"/>
        <w:suppressAutoHyphens/>
        <w:jc w:val="both"/>
        <w:rPr>
          <w:rFonts w:eastAsia="MS Mincho"/>
          <w:i/>
          <w:iCs/>
        </w:rPr>
      </w:pPr>
    </w:p>
    <w:p w14:paraId="7ED3FDB2" w14:textId="77777777" w:rsidR="00EE3B31" w:rsidRPr="00EE3B31" w:rsidRDefault="00EE3B31" w:rsidP="00CD407B">
      <w:pPr>
        <w:ind w:firstLine="709"/>
        <w:jc w:val="both"/>
        <w:rPr>
          <w:rFonts w:eastAsia="SimSun" w:cs="Arial"/>
          <w:kern w:val="2"/>
          <w:lang w:eastAsia="hi-IN" w:bidi="hi-IN"/>
        </w:rPr>
      </w:pPr>
      <w:r w:rsidRPr="00EE3B31">
        <w:rPr>
          <w:rFonts w:eastAsia="MS Mincho"/>
        </w:rPr>
        <w:t>Madonas novada Sociālās aprūpes un rehabilitācijas centrā “Ozoli”, kas atrodas Liezēres pagastā, tiek nodrošināti šādi pašvaldības sociālie pakalpojumi: ģimeniskai videi pietuvināts sociālās aprūpes un rehabilitācijas pakalpojums bērniem un grupu dzīvokļa pakalpojums.</w:t>
      </w:r>
    </w:p>
    <w:p w14:paraId="25B881F0" w14:textId="77777777" w:rsidR="00EE3B31" w:rsidRPr="00EE3B31" w:rsidRDefault="00EE3B31" w:rsidP="00CD407B">
      <w:pPr>
        <w:widowControl w:val="0"/>
        <w:suppressAutoHyphens/>
        <w:ind w:firstLine="720"/>
        <w:jc w:val="both"/>
        <w:rPr>
          <w:rFonts w:eastAsia="MS Mincho"/>
        </w:rPr>
      </w:pPr>
      <w:r w:rsidRPr="00EE3B31">
        <w:rPr>
          <w:rFonts w:eastAsia="MS Mincho"/>
        </w:rPr>
        <w:t xml:space="preserve">Pamatojoties uz 2022. gada 1. augusta Madonas novada pašvaldības domes  lēmumu Nr. 392 (protokols Nr. 14, 28. p.)  Madonas novada sociālās aprūpes un rehabilitācijas  centrā “Ozoli” tika noteikta maksa 1190 </w:t>
      </w:r>
      <w:r w:rsidRPr="00EE3B31">
        <w:rPr>
          <w:rFonts w:eastAsia="MS Mincho"/>
          <w:i/>
        </w:rPr>
        <w:t>euro</w:t>
      </w:r>
      <w:r w:rsidRPr="00EE3B31">
        <w:rPr>
          <w:rFonts w:eastAsia="MS Mincho"/>
        </w:rPr>
        <w:t xml:space="preserve"> mēnesī vienam bērnam no citām pašvaldībām par sociālās aprūpes pakalpojumiem un sociālās rehabilitācijas pakalpojumiem. </w:t>
      </w:r>
    </w:p>
    <w:p w14:paraId="325D99CC" w14:textId="77777777" w:rsidR="00EE3B31" w:rsidRPr="00EE3B31" w:rsidRDefault="00EE3B31" w:rsidP="00CD407B">
      <w:pPr>
        <w:widowControl w:val="0"/>
        <w:suppressAutoHyphens/>
        <w:ind w:firstLine="720"/>
        <w:jc w:val="both"/>
        <w:rPr>
          <w:rFonts w:eastAsia="MS Mincho"/>
        </w:rPr>
      </w:pPr>
      <w:r w:rsidRPr="00EE3B31">
        <w:rPr>
          <w:rFonts w:eastAsia="MS Mincho"/>
        </w:rPr>
        <w:t xml:space="preserve">Palielinoties valstī noteiktajam minimālās algas apmēram  un vispārējās algas pieaugumam, preču un pakalpojumu sadārdzinājumam,  ir palielinājušas izmaksas par pašvaldības sniegtajiem sociālajiem pakalpojumiem. Finanšu nodaļa ir veikusi aprēķinu par sociālā aprūpes un rehabilitācijas centra “Ozoli” sniegto pakalpojumu faktiskajām izmaksām. </w:t>
      </w:r>
    </w:p>
    <w:p w14:paraId="4BE1F722" w14:textId="77777777" w:rsidR="00EE3B31" w:rsidRPr="00EE3B31" w:rsidRDefault="00EE3B31" w:rsidP="00CD407B">
      <w:pPr>
        <w:widowControl w:val="0"/>
        <w:suppressAutoHyphens/>
        <w:ind w:firstLine="720"/>
        <w:jc w:val="both"/>
        <w:rPr>
          <w:rFonts w:eastAsia="MS Mincho"/>
        </w:rPr>
      </w:pPr>
      <w:r w:rsidRPr="00EE3B31">
        <w:rPr>
          <w:rFonts w:eastAsia="MS Mincho"/>
        </w:rPr>
        <w:t xml:space="preserve">Pēc aprēķinu veikšanas – Madonas novada Sociālās aprūpes un rehabilitācijas centrā “Ozoli” (Ozolu iela 1 un Zaļā iela 3) vienam bērnam, kas deklarēts Madonas novada pašvaldības teritorijā, pakalpojuma izmaksas mēnesī noapaļojot ir 1560,00 </w:t>
      </w:r>
      <w:r w:rsidRPr="00EE3B31">
        <w:rPr>
          <w:rFonts w:eastAsia="MS Mincho"/>
          <w:i/>
        </w:rPr>
        <w:t>euro</w:t>
      </w:r>
      <w:r w:rsidRPr="00EE3B31">
        <w:rPr>
          <w:rFonts w:eastAsia="MS Mincho"/>
        </w:rPr>
        <w:t>.</w:t>
      </w:r>
    </w:p>
    <w:p w14:paraId="36D2ACE4" w14:textId="77777777" w:rsidR="00EE3B31" w:rsidRPr="00EE3B31" w:rsidRDefault="00EE3B31" w:rsidP="00CD407B">
      <w:pPr>
        <w:widowControl w:val="0"/>
        <w:suppressAutoHyphens/>
        <w:ind w:firstLine="720"/>
        <w:jc w:val="both"/>
        <w:rPr>
          <w:rFonts w:eastAsia="SimSun" w:cs="Arial"/>
          <w:kern w:val="2"/>
          <w:lang w:eastAsia="hi-IN" w:bidi="hi-IN"/>
        </w:rPr>
      </w:pPr>
      <w:r w:rsidRPr="00EE3B31">
        <w:rPr>
          <w:rFonts w:eastAsia="MS Mincho"/>
        </w:rPr>
        <w:t>Ar 2023. gada 27. aprīļa Madonas novada pašvaldības domes lēmumu Nr. 225 “Par grupu dzīvokļu izveidošanu Jaunatnes ielā 1, Ozolos, Liezēres pagastā, Madonas novadā”, izveidots</w:t>
      </w:r>
      <w:r w:rsidRPr="00EE3B31">
        <w:rPr>
          <w:rFonts w:eastAsia="SimSun" w:cs="Arial"/>
          <w:kern w:val="2"/>
          <w:lang w:eastAsia="hi-IN" w:bidi="hi-IN"/>
        </w:rPr>
        <w:t xml:space="preserve"> pakalpojums personām ar garīga rakstura traucējumiem, izveidojot normatīviem atbilstošas grupu mājas (dzīvokļu) pakalpojumu ar 14 vietām.</w:t>
      </w:r>
    </w:p>
    <w:p w14:paraId="4B3F82FD" w14:textId="77777777" w:rsidR="00EE3B31" w:rsidRPr="00EE3B31" w:rsidRDefault="00EE3B31" w:rsidP="00CD407B">
      <w:pPr>
        <w:ind w:firstLine="720"/>
        <w:jc w:val="both"/>
        <w:rPr>
          <w:rFonts w:eastAsia="SimSun" w:cs="Arial"/>
          <w:lang w:eastAsia="hi-IN" w:bidi="hi-IN"/>
        </w:rPr>
      </w:pPr>
      <w:r w:rsidRPr="00EE3B31">
        <w:rPr>
          <w:rFonts w:eastAsia="SimSun" w:cs="Arial"/>
          <w:lang w:eastAsia="hi-IN" w:bidi="hi-IN"/>
        </w:rPr>
        <w:t>Madonas novada pašvaldības 2021. gada 25. novembra saistošo noteikumu Nr. 19 “Par sociālajiem pakalpojumiem Madonas novadā” paredzēts, ka ilgstošas sociālās aprūpes un sociālā rehabilitācijas pakalpojumu ģimeniskā vidē bērniem pašvaldības bērniem apmaksā pašvaldība.</w:t>
      </w:r>
    </w:p>
    <w:p w14:paraId="5E910DC8" w14:textId="77777777" w:rsidR="00EE3B31" w:rsidRPr="00EE3B31" w:rsidRDefault="00EE3B31" w:rsidP="00CD407B">
      <w:pPr>
        <w:ind w:firstLine="720"/>
        <w:jc w:val="both"/>
        <w:rPr>
          <w:rFonts w:eastAsia="SimSun" w:cs="Arial"/>
          <w:color w:val="000000"/>
          <w:kern w:val="2"/>
          <w:lang w:eastAsia="hi-IN" w:bidi="hi-IN"/>
        </w:rPr>
      </w:pPr>
      <w:r w:rsidRPr="00EE3B31">
        <w:rPr>
          <w:rFonts w:eastAsia="SimSun" w:cs="Arial"/>
          <w:color w:val="000000"/>
          <w:kern w:val="2"/>
          <w:lang w:eastAsia="hi-IN" w:bidi="hi-IN"/>
        </w:rPr>
        <w:t xml:space="preserve">Ministru kabineta 2007. gada 4. decembra noteikumu Nr. 829 “Noteikumi par dienas centru, grupu māju (dzīvokļu) un pusceļa māju izveidošanas un uzturēšanas izdevumu finansēšanu” </w:t>
      </w:r>
      <w:r w:rsidRPr="00EE3B31">
        <w:rPr>
          <w:rFonts w:eastAsia="SimSun" w:cs="Arial"/>
          <w:color w:val="000000"/>
          <w:lang w:eastAsia="hi-IN" w:bidi="hi-IN"/>
        </w:rPr>
        <w:t xml:space="preserve">21. punktā noteikts, ka izdevumus par grupu dzīvokļu pakalpojumu sedz no pašvaldības budžeta, </w:t>
      </w:r>
      <w:r w:rsidRPr="00EE3B31">
        <w:rPr>
          <w:rFonts w:eastAsia="SimSun" w:cs="Arial"/>
          <w:color w:val="000000"/>
          <w:kern w:val="2"/>
          <w:lang w:eastAsia="hi-IN" w:bidi="hi-IN"/>
        </w:rPr>
        <w:t>22. punktā noteikts, ka grupu dzīvokļa klienta pienākums ir samaksāt pakalpojumu sniedzējam par dzīvojamās telpas, virtuves un koplietošanas telpu ekspluatāciju (atbilstoši lietojamajai daļai).</w:t>
      </w:r>
    </w:p>
    <w:p w14:paraId="7DCAA4BE" w14:textId="77777777" w:rsidR="00EE3B31" w:rsidRPr="00EE3B31" w:rsidRDefault="00EE3B31" w:rsidP="00CD407B">
      <w:pPr>
        <w:widowControl w:val="0"/>
        <w:suppressAutoHyphens/>
        <w:ind w:firstLine="720"/>
        <w:jc w:val="both"/>
        <w:rPr>
          <w:rFonts w:eastAsia="SimSun" w:cs="Arial"/>
          <w:kern w:val="2"/>
          <w:lang w:eastAsia="hi-IN" w:bidi="hi-IN"/>
        </w:rPr>
      </w:pPr>
      <w:r w:rsidRPr="00EE3B31">
        <w:rPr>
          <w:rFonts w:eastAsia="SimSun" w:cs="Arial"/>
          <w:kern w:val="2"/>
          <w:lang w:eastAsia="hi-IN" w:bidi="hi-IN"/>
        </w:rPr>
        <w:t xml:space="preserve">Grupu dzīvokļu ekspluatācijas izmaksas laikā no 2023. gada 1. jūlija līdz 2024. gada 31. martam vienā mēnesī vienai personai tika noteiktas kā izlīdzinātais maksājums 50,00 EUR mēnesī, kas aprēķināts, pamatojoties uz izmaksām par komunālajiem pakalpojumiem ēkai Jaunatnes ielā 1, Ozoli, Liezēres pagasts, Madonas novads. 2024. gada martā, ņemot vērā faktiskās Grupu dzīvokļu ekspluatācijas izmaksas, tika veikts aprēķins par grupu dzīvokļu </w:t>
      </w:r>
      <w:r w:rsidRPr="00EE3B31">
        <w:rPr>
          <w:rFonts w:eastAsia="SimSun" w:cs="Arial"/>
          <w:kern w:val="2"/>
          <w:lang w:eastAsia="hi-IN" w:bidi="hi-IN"/>
        </w:rPr>
        <w:lastRenderedPageBreak/>
        <w:t xml:space="preserve">klienta maksājumu apjomu par telpas ekspluatācijas izdevumiem, izlīdzinātais maksājums par komunālajiem pakalpojumiem paliek iepriekšējā apmērā – 50,00 </w:t>
      </w:r>
      <w:r w:rsidRPr="00EE3B31">
        <w:rPr>
          <w:rFonts w:eastAsia="SimSun" w:cs="Arial"/>
          <w:i/>
          <w:iCs/>
          <w:kern w:val="2"/>
          <w:lang w:eastAsia="hi-IN" w:bidi="hi-IN"/>
        </w:rPr>
        <w:t>euro</w:t>
      </w:r>
      <w:r w:rsidRPr="00EE3B31">
        <w:rPr>
          <w:rFonts w:eastAsia="SimSun" w:cs="Arial"/>
          <w:kern w:val="2"/>
          <w:lang w:eastAsia="hi-IN" w:bidi="hi-IN"/>
        </w:rPr>
        <w:t>.</w:t>
      </w:r>
    </w:p>
    <w:p w14:paraId="621F0D39" w14:textId="77777777" w:rsidR="00EE3B31" w:rsidRPr="00EE3B31" w:rsidRDefault="00EE3B31" w:rsidP="00CD407B">
      <w:pPr>
        <w:ind w:firstLine="709"/>
        <w:jc w:val="both"/>
        <w:rPr>
          <w:color w:val="000000"/>
        </w:rPr>
      </w:pPr>
      <w:r w:rsidRPr="00EE3B31">
        <w:rPr>
          <w:color w:val="000000"/>
        </w:rPr>
        <w:t xml:space="preserve">Grupu dzīvokļa pakalpojumu Jaunatnes ielā 1, Ozolos, Liezēres pagastā saņem 14 klienti. Pamatojoties uz veiktajiem aprēķiniem, pakalpojuma izdevumi uz vienu klientu mēnesī ir 923,51 </w:t>
      </w:r>
      <w:r w:rsidRPr="00EE3B31">
        <w:rPr>
          <w:i/>
          <w:color w:val="000000"/>
        </w:rPr>
        <w:t>euro</w:t>
      </w:r>
      <w:r w:rsidRPr="00EE3B31">
        <w:rPr>
          <w:color w:val="000000"/>
        </w:rPr>
        <w:t xml:space="preserve">, gadā – 11 082 </w:t>
      </w:r>
      <w:r w:rsidRPr="00EE3B31">
        <w:rPr>
          <w:i/>
          <w:color w:val="000000"/>
        </w:rPr>
        <w:t>euro</w:t>
      </w:r>
      <w:r w:rsidRPr="00EE3B31">
        <w:rPr>
          <w:color w:val="000000"/>
        </w:rPr>
        <w:t xml:space="preserve">. Veicot izlīdzināto aprēķinu par komunālajiem pakalpojumiem (1 personai mēnesī noapaļojot ir 50 </w:t>
      </w:r>
      <w:r w:rsidRPr="00EE3B31">
        <w:rPr>
          <w:i/>
          <w:color w:val="000000"/>
        </w:rPr>
        <w:t>euro</w:t>
      </w:r>
      <w:r w:rsidRPr="00EE3B31">
        <w:rPr>
          <w:color w:val="000000"/>
        </w:rPr>
        <w:t xml:space="preserve">), pakalpojuma izmaksas vienam klientam, kas deklarēts Madonas novada pašvaldības teritorijā, noapaļojot mēnesī  ir 870,00 </w:t>
      </w:r>
      <w:r w:rsidRPr="00EE3B31">
        <w:rPr>
          <w:i/>
          <w:color w:val="000000"/>
        </w:rPr>
        <w:t>euro.</w:t>
      </w:r>
    </w:p>
    <w:p w14:paraId="5C4B3BD1" w14:textId="77777777" w:rsidR="00EE3B31" w:rsidRPr="00EE3B31" w:rsidRDefault="00EE3B31" w:rsidP="00CD407B">
      <w:pPr>
        <w:ind w:firstLine="709"/>
        <w:jc w:val="both"/>
        <w:rPr>
          <w:rFonts w:eastAsia="MS Mincho"/>
        </w:rPr>
      </w:pPr>
      <w:r w:rsidRPr="00EE3B31">
        <w:rPr>
          <w:rFonts w:eastAsia="MS Mincho"/>
        </w:rPr>
        <w:t xml:space="preserve">Pašvaldību likuma 10. panta pirmajā daļā paredzēts, ka dome ir tiesīga izlemt ikvienu pašvaldības kompetences jautājumu. </w:t>
      </w:r>
    </w:p>
    <w:p w14:paraId="7A4F6C25" w14:textId="29292011" w:rsidR="0066411E" w:rsidRDefault="00EE3B31" w:rsidP="00CD407B">
      <w:pPr>
        <w:ind w:firstLine="720"/>
        <w:jc w:val="both"/>
        <w:rPr>
          <w:lang w:eastAsia="lo-LA" w:bidi="lo-LA"/>
        </w:rPr>
      </w:pPr>
      <w:r w:rsidRPr="00EE3B31">
        <w:rPr>
          <w:color w:val="000000"/>
        </w:rPr>
        <w:t xml:space="preserve">Pamatojoties </w:t>
      </w:r>
      <w:r w:rsidRPr="00EE3B31">
        <w:rPr>
          <w:rFonts w:eastAsia="MS Mincho"/>
        </w:rPr>
        <w:t xml:space="preserve">Pašvaldību likuma 10. panta pirmo daļu, </w:t>
      </w:r>
      <w:r w:rsidRPr="00EE3B31">
        <w:t>ņemot vērā 13.03.2024. Sociālo un veselības jautājumu komitejas</w:t>
      </w:r>
      <w:r w:rsidR="00CD407B">
        <w:t xml:space="preserve"> un </w:t>
      </w:r>
      <w:r w:rsidRPr="00EE3B31">
        <w:rPr>
          <w:rFonts w:eastAsia="Calibri"/>
          <w:lang w:eastAsia="en-US"/>
        </w:rPr>
        <w:t xml:space="preserve">19.03.2024. </w:t>
      </w:r>
      <w:r w:rsidRPr="00EE3B31">
        <w:t xml:space="preserve">Finanšu un attīstības komitejas atzinumus, </w:t>
      </w:r>
      <w:r w:rsidR="0066411E">
        <w:rPr>
          <w:lang w:eastAsia="lo-LA" w:bidi="lo-LA"/>
        </w:rPr>
        <w:t>atklāti balsojot</w:t>
      </w:r>
      <w:r w:rsidR="0066411E">
        <w:rPr>
          <w:b/>
          <w:lang w:eastAsia="lo-LA" w:bidi="lo-LA"/>
        </w:rPr>
        <w:t xml:space="preserve">: PAR - </w:t>
      </w:r>
      <w:r w:rsidR="0066411E">
        <w:rPr>
          <w:rFonts w:eastAsia="Calibri"/>
          <w:b/>
          <w:noProof/>
          <w:lang w:eastAsia="en-US"/>
        </w:rPr>
        <w:t xml:space="preserve">16 </w:t>
      </w:r>
      <w:r w:rsidR="0066411E">
        <w:rPr>
          <w:rFonts w:eastAsia="Calibri"/>
          <w:bCs/>
          <w:noProof/>
          <w:lang w:eastAsia="en-US"/>
        </w:rPr>
        <w:t>(</w:t>
      </w:r>
      <w:r w:rsidR="0066411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66411E">
        <w:rPr>
          <w:rFonts w:eastAsia="Calibri"/>
          <w:bCs/>
          <w:noProof/>
          <w:lang w:eastAsia="en-US"/>
        </w:rPr>
        <w:t xml:space="preserve">), </w:t>
      </w:r>
      <w:r w:rsidR="0066411E">
        <w:rPr>
          <w:b/>
          <w:lang w:eastAsia="lo-LA" w:bidi="lo-LA"/>
        </w:rPr>
        <w:t>PRET - NAV, ATTURAS - NAV</w:t>
      </w:r>
      <w:r w:rsidR="0066411E">
        <w:rPr>
          <w:lang w:eastAsia="lo-LA" w:bidi="lo-LA"/>
        </w:rPr>
        <w:t xml:space="preserve">, Madonas novada pašvaldības dome </w:t>
      </w:r>
      <w:r w:rsidR="0066411E">
        <w:rPr>
          <w:b/>
          <w:lang w:eastAsia="lo-LA" w:bidi="lo-LA"/>
        </w:rPr>
        <w:t>NOLEMJ</w:t>
      </w:r>
      <w:r w:rsidR="0066411E">
        <w:rPr>
          <w:lang w:eastAsia="lo-LA" w:bidi="lo-LA"/>
        </w:rPr>
        <w:t>:</w:t>
      </w:r>
    </w:p>
    <w:p w14:paraId="103237A0" w14:textId="53F4D2BB" w:rsidR="00EE3B31" w:rsidRPr="00EE3B31" w:rsidRDefault="00EE3B31" w:rsidP="00CD407B">
      <w:pPr>
        <w:ind w:firstLine="709"/>
        <w:jc w:val="both"/>
        <w:rPr>
          <w:rFonts w:eastAsia="MS Mincho"/>
        </w:rPr>
      </w:pPr>
    </w:p>
    <w:p w14:paraId="718CC140" w14:textId="77777777" w:rsidR="00EE3B31" w:rsidRPr="00EE3B31" w:rsidRDefault="00EE3B31" w:rsidP="00CD407B">
      <w:pPr>
        <w:numPr>
          <w:ilvl w:val="0"/>
          <w:numId w:val="20"/>
        </w:numPr>
        <w:spacing w:after="160"/>
        <w:ind w:left="709" w:hanging="709"/>
        <w:contextualSpacing/>
        <w:jc w:val="both"/>
        <w:textAlignment w:val="baseline"/>
        <w:rPr>
          <w:rFonts w:eastAsia="Calibri"/>
          <w:lang w:eastAsia="en-US"/>
        </w:rPr>
      </w:pPr>
      <w:r w:rsidRPr="00EE3B31">
        <w:rPr>
          <w:rFonts w:eastAsia="Calibri"/>
          <w:lang w:eastAsia="en-US"/>
        </w:rPr>
        <w:t>Veikt grozījumus Madonas novada pašvaldības 29.09.2022. lēmuma Nr. 653 “Par Madonas novada pašvaldības maksas pakalpojumu cenrāža apstiprināšanu” (protokols Nr. 21, 46. p.) pielikumā Nr. 7 “Liezēres pagasta pārvaldē sniegtie maksas pakalpojumi un to cenrādis”, izsakot 5. punktu jaunā redakcijā, pēc veiktajiem aprēķiniem.</w:t>
      </w:r>
    </w:p>
    <w:tbl>
      <w:tblPr>
        <w:tblStyle w:val="Reatabula"/>
        <w:tblW w:w="0" w:type="auto"/>
        <w:tblInd w:w="360" w:type="dxa"/>
        <w:tblLook w:val="04A0" w:firstRow="1" w:lastRow="0" w:firstColumn="1" w:lastColumn="0" w:noHBand="0" w:noVBand="1"/>
      </w:tblPr>
      <w:tblGrid>
        <w:gridCol w:w="943"/>
        <w:gridCol w:w="3147"/>
        <w:gridCol w:w="1403"/>
        <w:gridCol w:w="1115"/>
        <w:gridCol w:w="984"/>
        <w:gridCol w:w="1109"/>
      </w:tblGrid>
      <w:tr w:rsidR="00EE3B31" w:rsidRPr="00EE3B31" w14:paraId="490D06A5" w14:textId="77777777" w:rsidTr="00A64AA0">
        <w:tc>
          <w:tcPr>
            <w:tcW w:w="943" w:type="dxa"/>
            <w:vAlign w:val="center"/>
          </w:tcPr>
          <w:p w14:paraId="3FDEA312"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Nr.p.k.</w:t>
            </w:r>
          </w:p>
        </w:tc>
        <w:tc>
          <w:tcPr>
            <w:tcW w:w="3147" w:type="dxa"/>
            <w:vAlign w:val="center"/>
          </w:tcPr>
          <w:p w14:paraId="5B22B5E4"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Pakalpojums</w:t>
            </w:r>
          </w:p>
        </w:tc>
        <w:tc>
          <w:tcPr>
            <w:tcW w:w="1403" w:type="dxa"/>
            <w:vAlign w:val="center"/>
          </w:tcPr>
          <w:p w14:paraId="5DA8C930"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Mērvienība</w:t>
            </w:r>
          </w:p>
        </w:tc>
        <w:tc>
          <w:tcPr>
            <w:tcW w:w="1115" w:type="dxa"/>
            <w:vAlign w:val="center"/>
          </w:tcPr>
          <w:p w14:paraId="2F3B1CB7"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Cena bez PVN (EUR)</w:t>
            </w:r>
          </w:p>
        </w:tc>
        <w:tc>
          <w:tcPr>
            <w:tcW w:w="984" w:type="dxa"/>
            <w:vAlign w:val="center"/>
          </w:tcPr>
          <w:p w14:paraId="09C97000"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PVN  (EUR)</w:t>
            </w:r>
          </w:p>
        </w:tc>
        <w:tc>
          <w:tcPr>
            <w:tcW w:w="1109" w:type="dxa"/>
            <w:vAlign w:val="center"/>
          </w:tcPr>
          <w:p w14:paraId="0FDA6979" w14:textId="77777777" w:rsidR="00EE3B31" w:rsidRPr="00EE3B31" w:rsidRDefault="00EE3B31" w:rsidP="00CD407B">
            <w:pPr>
              <w:contextualSpacing/>
              <w:jc w:val="center"/>
              <w:textAlignment w:val="baseline"/>
              <w:rPr>
                <w:rFonts w:eastAsia="Calibri"/>
                <w:b/>
                <w:bCs/>
                <w:lang w:eastAsia="en-US"/>
              </w:rPr>
            </w:pPr>
            <w:r w:rsidRPr="00EE3B31">
              <w:rPr>
                <w:rFonts w:eastAsia="Calibri"/>
                <w:b/>
                <w:bCs/>
                <w:lang w:eastAsia="en-US"/>
              </w:rPr>
              <w:t>Cena kopā ar PVN (EUR)</w:t>
            </w:r>
          </w:p>
        </w:tc>
      </w:tr>
      <w:tr w:rsidR="00EE3B31" w:rsidRPr="00EE3B31" w14:paraId="1E28E8D2" w14:textId="77777777" w:rsidTr="00A64AA0">
        <w:tc>
          <w:tcPr>
            <w:tcW w:w="943" w:type="dxa"/>
          </w:tcPr>
          <w:p w14:paraId="13C4D0EB" w14:textId="77777777" w:rsidR="00EE3B31" w:rsidRPr="00EE3B31" w:rsidRDefault="00EE3B31" w:rsidP="00CD407B">
            <w:pPr>
              <w:contextualSpacing/>
              <w:jc w:val="both"/>
              <w:textAlignment w:val="baseline"/>
              <w:rPr>
                <w:rFonts w:eastAsia="Calibri"/>
                <w:b/>
                <w:bCs/>
                <w:lang w:eastAsia="en-US"/>
              </w:rPr>
            </w:pPr>
            <w:r w:rsidRPr="00EE3B31">
              <w:rPr>
                <w:rFonts w:eastAsia="Calibri"/>
                <w:b/>
                <w:bCs/>
                <w:lang w:eastAsia="en-US"/>
              </w:rPr>
              <w:t>5.1.</w:t>
            </w:r>
          </w:p>
        </w:tc>
        <w:tc>
          <w:tcPr>
            <w:tcW w:w="7758" w:type="dxa"/>
            <w:gridSpan w:val="5"/>
          </w:tcPr>
          <w:p w14:paraId="008F8D35" w14:textId="77777777" w:rsidR="00EE3B31" w:rsidRPr="00EE3B31" w:rsidRDefault="00EE3B31" w:rsidP="00CD407B">
            <w:pPr>
              <w:contextualSpacing/>
              <w:jc w:val="both"/>
              <w:textAlignment w:val="baseline"/>
              <w:rPr>
                <w:rFonts w:eastAsia="Calibri"/>
                <w:b/>
                <w:bCs/>
                <w:lang w:eastAsia="en-US"/>
              </w:rPr>
            </w:pPr>
            <w:r w:rsidRPr="00EE3B31">
              <w:rPr>
                <w:rFonts w:eastAsia="Calibri"/>
                <w:b/>
                <w:bCs/>
                <w:lang w:eastAsia="en-US"/>
              </w:rPr>
              <w:t xml:space="preserve">Grupu dzīvokļa pakalpojumi </w:t>
            </w:r>
          </w:p>
        </w:tc>
      </w:tr>
      <w:tr w:rsidR="00EE3B31" w:rsidRPr="00EE3B31" w14:paraId="224B72BA" w14:textId="77777777" w:rsidTr="00A64AA0">
        <w:tc>
          <w:tcPr>
            <w:tcW w:w="943" w:type="dxa"/>
          </w:tcPr>
          <w:p w14:paraId="22788D78"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5.1.1.</w:t>
            </w:r>
          </w:p>
        </w:tc>
        <w:tc>
          <w:tcPr>
            <w:tcW w:w="3147" w:type="dxa"/>
          </w:tcPr>
          <w:p w14:paraId="05D7F706" w14:textId="77777777" w:rsidR="00EE3B31" w:rsidRPr="00EE3B31" w:rsidRDefault="00EE3B31" w:rsidP="00CD407B">
            <w:pPr>
              <w:contextualSpacing/>
              <w:textAlignment w:val="baseline"/>
              <w:rPr>
                <w:rFonts w:eastAsia="Calibri"/>
                <w:lang w:eastAsia="en-US"/>
              </w:rPr>
            </w:pPr>
            <w:r w:rsidRPr="00EE3B31">
              <w:rPr>
                <w:rFonts w:eastAsia="Calibri"/>
                <w:lang w:eastAsia="en-US"/>
              </w:rPr>
              <w:t>Grupu dzīvokļa pakalpojums Madonas novada teritorijā deklarētiem iedzīvotājiem *</w:t>
            </w:r>
          </w:p>
        </w:tc>
        <w:tc>
          <w:tcPr>
            <w:tcW w:w="1403" w:type="dxa"/>
          </w:tcPr>
          <w:p w14:paraId="492C4269"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w:t>
            </w:r>
          </w:p>
          <w:p w14:paraId="41FC9232" w14:textId="77777777" w:rsidR="00EE3B31" w:rsidRPr="00EE3B31" w:rsidRDefault="00EE3B31" w:rsidP="00CD407B">
            <w:pPr>
              <w:contextualSpacing/>
              <w:textAlignment w:val="baseline"/>
              <w:rPr>
                <w:rFonts w:eastAsia="Calibri"/>
                <w:lang w:eastAsia="en-US"/>
              </w:rPr>
            </w:pPr>
            <w:r w:rsidRPr="00EE3B31">
              <w:rPr>
                <w:rFonts w:eastAsia="Calibri"/>
                <w:lang w:eastAsia="en-US"/>
              </w:rPr>
              <w:t>mēnesī</w:t>
            </w:r>
          </w:p>
        </w:tc>
        <w:tc>
          <w:tcPr>
            <w:tcW w:w="1115" w:type="dxa"/>
          </w:tcPr>
          <w:p w14:paraId="11815472"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870,00</w:t>
            </w:r>
          </w:p>
          <w:p w14:paraId="29914972" w14:textId="77777777" w:rsidR="00EE3B31" w:rsidRPr="00EE3B31" w:rsidRDefault="00EE3B31" w:rsidP="00CD407B">
            <w:pPr>
              <w:contextualSpacing/>
              <w:jc w:val="both"/>
              <w:textAlignment w:val="baseline"/>
              <w:rPr>
                <w:rFonts w:eastAsia="Calibri"/>
                <w:lang w:eastAsia="en-US"/>
              </w:rPr>
            </w:pPr>
          </w:p>
        </w:tc>
        <w:tc>
          <w:tcPr>
            <w:tcW w:w="984" w:type="dxa"/>
          </w:tcPr>
          <w:p w14:paraId="45BB5E73"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402338EB"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870,00</w:t>
            </w:r>
          </w:p>
        </w:tc>
      </w:tr>
      <w:tr w:rsidR="00EE3B31" w:rsidRPr="00EE3B31" w14:paraId="54197FB5" w14:textId="77777777" w:rsidTr="00A64AA0">
        <w:tc>
          <w:tcPr>
            <w:tcW w:w="943" w:type="dxa"/>
          </w:tcPr>
          <w:p w14:paraId="437D1DD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5.1.2.</w:t>
            </w:r>
          </w:p>
        </w:tc>
        <w:tc>
          <w:tcPr>
            <w:tcW w:w="3147" w:type="dxa"/>
          </w:tcPr>
          <w:p w14:paraId="31EF8E63" w14:textId="77777777" w:rsidR="00EE3B31" w:rsidRPr="00EE3B31" w:rsidRDefault="00EE3B31" w:rsidP="00CD407B">
            <w:pPr>
              <w:contextualSpacing/>
              <w:textAlignment w:val="baseline"/>
              <w:rPr>
                <w:rFonts w:eastAsia="Calibri"/>
                <w:lang w:eastAsia="en-US"/>
              </w:rPr>
            </w:pPr>
            <w:r w:rsidRPr="00EE3B31">
              <w:rPr>
                <w:rFonts w:eastAsia="Calibri"/>
                <w:lang w:eastAsia="en-US"/>
              </w:rPr>
              <w:t>Grupu dzīvokļa pakalpojums citu novadu deklarētiem iedzīvotājiem</w:t>
            </w:r>
          </w:p>
        </w:tc>
        <w:tc>
          <w:tcPr>
            <w:tcW w:w="1403" w:type="dxa"/>
          </w:tcPr>
          <w:p w14:paraId="4E364368"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w:t>
            </w:r>
          </w:p>
          <w:p w14:paraId="12C4C5A6" w14:textId="77777777" w:rsidR="00EE3B31" w:rsidRPr="00EE3B31" w:rsidRDefault="00EE3B31" w:rsidP="00CD407B">
            <w:pPr>
              <w:contextualSpacing/>
              <w:textAlignment w:val="baseline"/>
              <w:rPr>
                <w:rFonts w:eastAsia="Calibri"/>
                <w:lang w:eastAsia="en-US"/>
              </w:rPr>
            </w:pPr>
            <w:r w:rsidRPr="00EE3B31">
              <w:rPr>
                <w:rFonts w:eastAsia="Calibri"/>
                <w:lang w:eastAsia="en-US"/>
              </w:rPr>
              <w:t>mēnesī</w:t>
            </w:r>
          </w:p>
        </w:tc>
        <w:tc>
          <w:tcPr>
            <w:tcW w:w="1115" w:type="dxa"/>
          </w:tcPr>
          <w:p w14:paraId="21DF351E"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1000,00</w:t>
            </w:r>
          </w:p>
        </w:tc>
        <w:tc>
          <w:tcPr>
            <w:tcW w:w="984" w:type="dxa"/>
          </w:tcPr>
          <w:p w14:paraId="0B058223"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6D5E4211"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1000,00</w:t>
            </w:r>
          </w:p>
        </w:tc>
      </w:tr>
      <w:tr w:rsidR="00EE3B31" w:rsidRPr="00EE3B31" w14:paraId="21850709" w14:textId="77777777" w:rsidTr="00A64AA0">
        <w:tc>
          <w:tcPr>
            <w:tcW w:w="943" w:type="dxa"/>
          </w:tcPr>
          <w:p w14:paraId="71453491"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5.1.3.</w:t>
            </w:r>
          </w:p>
        </w:tc>
        <w:tc>
          <w:tcPr>
            <w:tcW w:w="3147" w:type="dxa"/>
          </w:tcPr>
          <w:p w14:paraId="06FE9B83" w14:textId="77777777" w:rsidR="00EE3B31" w:rsidRPr="00EE3B31" w:rsidRDefault="00EE3B31" w:rsidP="00CD407B">
            <w:pPr>
              <w:contextualSpacing/>
              <w:textAlignment w:val="baseline"/>
              <w:rPr>
                <w:rFonts w:eastAsia="Calibri"/>
                <w:lang w:eastAsia="en-US"/>
              </w:rPr>
            </w:pPr>
            <w:r w:rsidRPr="00EE3B31">
              <w:rPr>
                <w:rFonts w:eastAsia="Calibri"/>
                <w:lang w:eastAsia="en-US"/>
              </w:rPr>
              <w:t>Grupu dzīvokļa pakalpojums citu novadu deklarētiem iedzīvotājiem **</w:t>
            </w:r>
          </w:p>
        </w:tc>
        <w:tc>
          <w:tcPr>
            <w:tcW w:w="1403" w:type="dxa"/>
          </w:tcPr>
          <w:p w14:paraId="70A09561"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 dienā</w:t>
            </w:r>
          </w:p>
        </w:tc>
        <w:tc>
          <w:tcPr>
            <w:tcW w:w="1115" w:type="dxa"/>
          </w:tcPr>
          <w:p w14:paraId="5B8F8B32"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32,88</w:t>
            </w:r>
          </w:p>
        </w:tc>
        <w:tc>
          <w:tcPr>
            <w:tcW w:w="984" w:type="dxa"/>
          </w:tcPr>
          <w:p w14:paraId="2CDBD8CE"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09190FEF"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32,88</w:t>
            </w:r>
          </w:p>
        </w:tc>
      </w:tr>
      <w:tr w:rsidR="00EE3B31" w:rsidRPr="00EE3B31" w14:paraId="30851393" w14:textId="77777777" w:rsidTr="00A64AA0">
        <w:tc>
          <w:tcPr>
            <w:tcW w:w="943" w:type="dxa"/>
          </w:tcPr>
          <w:p w14:paraId="076BBB7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5.1.4.</w:t>
            </w:r>
          </w:p>
        </w:tc>
        <w:tc>
          <w:tcPr>
            <w:tcW w:w="3147" w:type="dxa"/>
          </w:tcPr>
          <w:p w14:paraId="4B046E5F" w14:textId="77777777" w:rsidR="00EE3B31" w:rsidRPr="00EE3B31" w:rsidRDefault="00EE3B31" w:rsidP="00CD407B">
            <w:pPr>
              <w:contextualSpacing/>
              <w:textAlignment w:val="baseline"/>
              <w:rPr>
                <w:rFonts w:eastAsia="Calibri"/>
                <w:lang w:eastAsia="en-US"/>
              </w:rPr>
            </w:pPr>
            <w:r w:rsidRPr="00EE3B31">
              <w:rPr>
                <w:rFonts w:eastAsia="Calibri"/>
                <w:lang w:eastAsia="en-US"/>
              </w:rPr>
              <w:t>Telpu ekspluatācijas izmaksas par uzturēšanos Grupu dzīvoklī</w:t>
            </w:r>
          </w:p>
        </w:tc>
        <w:tc>
          <w:tcPr>
            <w:tcW w:w="1403" w:type="dxa"/>
          </w:tcPr>
          <w:p w14:paraId="040B02B0" w14:textId="77777777" w:rsidR="00EE3B31" w:rsidRPr="00EE3B31" w:rsidRDefault="00EE3B31" w:rsidP="00CD407B">
            <w:pPr>
              <w:contextualSpacing/>
              <w:textAlignment w:val="baseline"/>
              <w:rPr>
                <w:rFonts w:eastAsia="Calibri"/>
                <w:lang w:eastAsia="en-US"/>
              </w:rPr>
            </w:pPr>
            <w:r w:rsidRPr="00EE3B31">
              <w:rPr>
                <w:rFonts w:eastAsia="Calibri"/>
                <w:lang w:eastAsia="en-US"/>
              </w:rPr>
              <w:t>Izlīdzinātais maksājums 1 personai mēnesī</w:t>
            </w:r>
          </w:p>
        </w:tc>
        <w:tc>
          <w:tcPr>
            <w:tcW w:w="1115" w:type="dxa"/>
          </w:tcPr>
          <w:p w14:paraId="3572DB0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50,00</w:t>
            </w:r>
          </w:p>
        </w:tc>
        <w:tc>
          <w:tcPr>
            <w:tcW w:w="984" w:type="dxa"/>
          </w:tcPr>
          <w:p w14:paraId="124A55A5"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48C45F33"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50,00</w:t>
            </w:r>
          </w:p>
        </w:tc>
      </w:tr>
      <w:tr w:rsidR="00EE3B31" w:rsidRPr="00EE3B31" w14:paraId="5D26706E" w14:textId="77777777" w:rsidTr="00A64AA0">
        <w:tc>
          <w:tcPr>
            <w:tcW w:w="943" w:type="dxa"/>
          </w:tcPr>
          <w:p w14:paraId="7C4CC564"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5.1.5.</w:t>
            </w:r>
          </w:p>
        </w:tc>
        <w:tc>
          <w:tcPr>
            <w:tcW w:w="3147" w:type="dxa"/>
          </w:tcPr>
          <w:p w14:paraId="283D891D" w14:textId="77777777" w:rsidR="00EE3B31" w:rsidRPr="00EE3B31" w:rsidRDefault="00EE3B31" w:rsidP="00CD407B">
            <w:pPr>
              <w:contextualSpacing/>
              <w:textAlignment w:val="baseline"/>
              <w:rPr>
                <w:rFonts w:eastAsia="Calibri"/>
                <w:lang w:eastAsia="en-US"/>
              </w:rPr>
            </w:pPr>
            <w:r w:rsidRPr="00EE3B31">
              <w:rPr>
                <w:rFonts w:eastAsia="Calibri"/>
                <w:lang w:eastAsia="en-US"/>
              </w:rPr>
              <w:t>Telpu ekspluatācijas izmaksas par uzturēšanos Grupu dzīvoklī **</w:t>
            </w:r>
          </w:p>
        </w:tc>
        <w:tc>
          <w:tcPr>
            <w:tcW w:w="1403" w:type="dxa"/>
          </w:tcPr>
          <w:p w14:paraId="5BC1D3B5" w14:textId="77777777" w:rsidR="00EE3B31" w:rsidRPr="00EE3B31" w:rsidRDefault="00EE3B31" w:rsidP="00CD407B">
            <w:pPr>
              <w:contextualSpacing/>
              <w:textAlignment w:val="baseline"/>
              <w:rPr>
                <w:rFonts w:eastAsia="Calibri"/>
                <w:lang w:eastAsia="en-US"/>
              </w:rPr>
            </w:pPr>
            <w:r w:rsidRPr="00EE3B31">
              <w:rPr>
                <w:rFonts w:eastAsia="Calibri"/>
                <w:lang w:eastAsia="en-US"/>
              </w:rPr>
              <w:t>Izlīdzinātais maksājums 1 personai dienā</w:t>
            </w:r>
          </w:p>
        </w:tc>
        <w:tc>
          <w:tcPr>
            <w:tcW w:w="1115" w:type="dxa"/>
          </w:tcPr>
          <w:p w14:paraId="35E3AD1B"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1,64</w:t>
            </w:r>
          </w:p>
        </w:tc>
        <w:tc>
          <w:tcPr>
            <w:tcW w:w="984" w:type="dxa"/>
          </w:tcPr>
          <w:p w14:paraId="7A74C34A"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6C74EFF5"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1,64</w:t>
            </w:r>
          </w:p>
        </w:tc>
      </w:tr>
      <w:tr w:rsidR="00EE3B31" w:rsidRPr="00EE3B31" w14:paraId="2950FAC7" w14:textId="77777777" w:rsidTr="00A64AA0">
        <w:tc>
          <w:tcPr>
            <w:tcW w:w="943" w:type="dxa"/>
          </w:tcPr>
          <w:p w14:paraId="26B4117E" w14:textId="77777777" w:rsidR="00EE3B31" w:rsidRPr="00EE3B31" w:rsidRDefault="00EE3B31" w:rsidP="00CD407B">
            <w:pPr>
              <w:contextualSpacing/>
              <w:jc w:val="both"/>
              <w:textAlignment w:val="baseline"/>
              <w:rPr>
                <w:rFonts w:eastAsia="Calibri"/>
                <w:b/>
                <w:bCs/>
                <w:lang w:eastAsia="en-US"/>
              </w:rPr>
            </w:pPr>
            <w:r w:rsidRPr="00EE3B31">
              <w:rPr>
                <w:rFonts w:eastAsia="Calibri"/>
                <w:b/>
                <w:bCs/>
                <w:lang w:eastAsia="en-US"/>
              </w:rPr>
              <w:t>5.2.</w:t>
            </w:r>
          </w:p>
        </w:tc>
        <w:tc>
          <w:tcPr>
            <w:tcW w:w="7758" w:type="dxa"/>
            <w:gridSpan w:val="5"/>
          </w:tcPr>
          <w:p w14:paraId="650FC6F8" w14:textId="77777777" w:rsidR="00EE3B31" w:rsidRPr="00EE3B31" w:rsidRDefault="00EE3B31" w:rsidP="00CD407B">
            <w:pPr>
              <w:contextualSpacing/>
              <w:jc w:val="both"/>
              <w:textAlignment w:val="baseline"/>
              <w:rPr>
                <w:rFonts w:eastAsia="Calibri"/>
                <w:b/>
                <w:bCs/>
                <w:lang w:eastAsia="en-US"/>
              </w:rPr>
            </w:pPr>
            <w:r w:rsidRPr="00EE3B31">
              <w:rPr>
                <w:rFonts w:eastAsia="Calibri"/>
                <w:b/>
                <w:bCs/>
                <w:lang w:eastAsia="en-US"/>
              </w:rPr>
              <w:t xml:space="preserve">Ilgstošas sociālās aprūpes un sociālā rehabilitācijas pakalpojums ģimeniskā vidē bērniem </w:t>
            </w:r>
          </w:p>
        </w:tc>
      </w:tr>
      <w:tr w:rsidR="00EE3B31" w:rsidRPr="00EE3B31" w14:paraId="3C6E7C50" w14:textId="77777777" w:rsidTr="00A64AA0">
        <w:tc>
          <w:tcPr>
            <w:tcW w:w="943" w:type="dxa"/>
          </w:tcPr>
          <w:p w14:paraId="22B1603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5.2.1.</w:t>
            </w:r>
          </w:p>
        </w:tc>
        <w:tc>
          <w:tcPr>
            <w:tcW w:w="3147" w:type="dxa"/>
          </w:tcPr>
          <w:p w14:paraId="09C5C3A1" w14:textId="77777777" w:rsidR="00EE3B31" w:rsidRPr="00EE3B31" w:rsidRDefault="00EE3B31" w:rsidP="00CD407B">
            <w:pPr>
              <w:contextualSpacing/>
              <w:textAlignment w:val="baseline"/>
              <w:rPr>
                <w:rFonts w:eastAsia="Calibri"/>
                <w:lang w:eastAsia="en-US"/>
              </w:rPr>
            </w:pPr>
            <w:r w:rsidRPr="00EE3B31">
              <w:rPr>
                <w:rFonts w:eastAsia="Calibri"/>
                <w:lang w:eastAsia="en-US"/>
              </w:rPr>
              <w:t>Ilgstošas sociālās aprūpes un sociālā rehabilitācijas pakalpojums ģimeniskā vidē bērniem, Madonas novada teritorijā deklarētiem bērniem *</w:t>
            </w:r>
          </w:p>
        </w:tc>
        <w:tc>
          <w:tcPr>
            <w:tcW w:w="1403" w:type="dxa"/>
          </w:tcPr>
          <w:p w14:paraId="02EEA533"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 mēnesī</w:t>
            </w:r>
          </w:p>
        </w:tc>
        <w:tc>
          <w:tcPr>
            <w:tcW w:w="1115" w:type="dxa"/>
          </w:tcPr>
          <w:p w14:paraId="1844415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1560,00</w:t>
            </w:r>
          </w:p>
          <w:p w14:paraId="0D8C4A3B" w14:textId="77777777" w:rsidR="00EE3B31" w:rsidRPr="00EE3B31" w:rsidRDefault="00EE3B31" w:rsidP="00CD407B">
            <w:pPr>
              <w:contextualSpacing/>
              <w:jc w:val="both"/>
              <w:textAlignment w:val="baseline"/>
              <w:rPr>
                <w:rFonts w:eastAsia="Calibri"/>
                <w:lang w:eastAsia="en-US"/>
              </w:rPr>
            </w:pPr>
          </w:p>
        </w:tc>
        <w:tc>
          <w:tcPr>
            <w:tcW w:w="984" w:type="dxa"/>
          </w:tcPr>
          <w:p w14:paraId="5A0881D0"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1368F43D"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1560,00</w:t>
            </w:r>
          </w:p>
        </w:tc>
      </w:tr>
      <w:tr w:rsidR="00EE3B31" w:rsidRPr="00EE3B31" w14:paraId="6103359A" w14:textId="77777777" w:rsidTr="00A64AA0">
        <w:tc>
          <w:tcPr>
            <w:tcW w:w="943" w:type="dxa"/>
          </w:tcPr>
          <w:p w14:paraId="75A3CCB8"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lastRenderedPageBreak/>
              <w:t>5.2.2.</w:t>
            </w:r>
          </w:p>
        </w:tc>
        <w:tc>
          <w:tcPr>
            <w:tcW w:w="3147" w:type="dxa"/>
          </w:tcPr>
          <w:p w14:paraId="27F1AFDF" w14:textId="77777777" w:rsidR="00EE3B31" w:rsidRPr="00EE3B31" w:rsidRDefault="00EE3B31" w:rsidP="00CD407B">
            <w:pPr>
              <w:contextualSpacing/>
              <w:textAlignment w:val="baseline"/>
              <w:rPr>
                <w:rFonts w:eastAsia="Calibri"/>
                <w:lang w:eastAsia="en-US"/>
              </w:rPr>
            </w:pPr>
            <w:r w:rsidRPr="00EE3B31">
              <w:rPr>
                <w:rFonts w:eastAsia="Calibri"/>
                <w:lang w:eastAsia="en-US"/>
              </w:rPr>
              <w:t>Ilgstošas sociālās aprūpes un sociālā rehabilitācijas pakalpojums ģimeniskā vidē bērniem, citu novadu deklarētiem bērniem</w:t>
            </w:r>
          </w:p>
        </w:tc>
        <w:tc>
          <w:tcPr>
            <w:tcW w:w="1403" w:type="dxa"/>
          </w:tcPr>
          <w:p w14:paraId="7DF4CFC1"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 mēnesī</w:t>
            </w:r>
          </w:p>
        </w:tc>
        <w:tc>
          <w:tcPr>
            <w:tcW w:w="1115" w:type="dxa"/>
          </w:tcPr>
          <w:p w14:paraId="33D325D6"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1700,00</w:t>
            </w:r>
          </w:p>
        </w:tc>
        <w:tc>
          <w:tcPr>
            <w:tcW w:w="984" w:type="dxa"/>
          </w:tcPr>
          <w:p w14:paraId="465F4CFF"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5119ACB3"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1700,00</w:t>
            </w:r>
          </w:p>
        </w:tc>
      </w:tr>
      <w:tr w:rsidR="00EE3B31" w:rsidRPr="00EE3B31" w14:paraId="0C7E4870" w14:textId="77777777" w:rsidTr="00A64AA0">
        <w:tc>
          <w:tcPr>
            <w:tcW w:w="943" w:type="dxa"/>
          </w:tcPr>
          <w:p w14:paraId="532C4856"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5.2.3.</w:t>
            </w:r>
          </w:p>
        </w:tc>
        <w:tc>
          <w:tcPr>
            <w:tcW w:w="3147" w:type="dxa"/>
          </w:tcPr>
          <w:p w14:paraId="64DFDA97" w14:textId="77777777" w:rsidR="00EE3B31" w:rsidRPr="00EE3B31" w:rsidRDefault="00EE3B31" w:rsidP="00CD407B">
            <w:pPr>
              <w:contextualSpacing/>
              <w:textAlignment w:val="baseline"/>
              <w:rPr>
                <w:rFonts w:eastAsia="Calibri"/>
                <w:lang w:eastAsia="en-US"/>
              </w:rPr>
            </w:pPr>
            <w:r w:rsidRPr="00EE3B31">
              <w:rPr>
                <w:rFonts w:eastAsia="Calibri"/>
                <w:lang w:eastAsia="en-US"/>
              </w:rPr>
              <w:t>Ilgstošas sociālās aprūpes un sociālā rehabilitācijas pakalpojums ģimeniskā vidē bērniem, citu novadu deklarētiem bērniem **</w:t>
            </w:r>
          </w:p>
        </w:tc>
        <w:tc>
          <w:tcPr>
            <w:tcW w:w="1403" w:type="dxa"/>
          </w:tcPr>
          <w:p w14:paraId="7AD1BA67" w14:textId="77777777" w:rsidR="00EE3B31" w:rsidRPr="00EE3B31" w:rsidRDefault="00EE3B31" w:rsidP="00CD407B">
            <w:pPr>
              <w:contextualSpacing/>
              <w:textAlignment w:val="baseline"/>
              <w:rPr>
                <w:rFonts w:eastAsia="Calibri"/>
                <w:lang w:eastAsia="en-US"/>
              </w:rPr>
            </w:pPr>
            <w:r w:rsidRPr="00EE3B31">
              <w:rPr>
                <w:rFonts w:eastAsia="Calibri"/>
                <w:lang w:eastAsia="en-US"/>
              </w:rPr>
              <w:t>1 personai dienā</w:t>
            </w:r>
          </w:p>
        </w:tc>
        <w:tc>
          <w:tcPr>
            <w:tcW w:w="1115" w:type="dxa"/>
          </w:tcPr>
          <w:p w14:paraId="5AE902AB"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55,89</w:t>
            </w:r>
          </w:p>
        </w:tc>
        <w:tc>
          <w:tcPr>
            <w:tcW w:w="984" w:type="dxa"/>
          </w:tcPr>
          <w:p w14:paraId="381840B3"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00,00</w:t>
            </w:r>
          </w:p>
        </w:tc>
        <w:tc>
          <w:tcPr>
            <w:tcW w:w="1109" w:type="dxa"/>
          </w:tcPr>
          <w:p w14:paraId="1576E00E" w14:textId="77777777" w:rsidR="00EE3B31" w:rsidRPr="00EE3B31" w:rsidRDefault="00EE3B31" w:rsidP="00CD407B">
            <w:pPr>
              <w:contextualSpacing/>
              <w:jc w:val="both"/>
              <w:textAlignment w:val="baseline"/>
              <w:rPr>
                <w:rFonts w:eastAsia="Calibri"/>
                <w:lang w:eastAsia="en-US"/>
              </w:rPr>
            </w:pPr>
            <w:r w:rsidRPr="00EE3B31">
              <w:rPr>
                <w:rFonts w:eastAsia="Calibri"/>
                <w:lang w:eastAsia="en-US"/>
              </w:rPr>
              <w:t>55,89</w:t>
            </w:r>
          </w:p>
        </w:tc>
      </w:tr>
    </w:tbl>
    <w:p w14:paraId="63ADB1E0" w14:textId="77777777" w:rsidR="00EE3B31" w:rsidRPr="00EE3B31" w:rsidRDefault="00EE3B31" w:rsidP="00CD407B">
      <w:pPr>
        <w:spacing w:after="160"/>
        <w:jc w:val="both"/>
        <w:textAlignment w:val="baseline"/>
        <w:rPr>
          <w:rFonts w:eastAsia="Calibri"/>
          <w:sz w:val="22"/>
          <w:szCs w:val="22"/>
        </w:rPr>
      </w:pPr>
      <w:r w:rsidRPr="00EE3B31">
        <w:rPr>
          <w:rFonts w:eastAsia="Calibri"/>
          <w:sz w:val="22"/>
          <w:szCs w:val="22"/>
        </w:rPr>
        <w:t xml:space="preserve">  *Madonas novadā deklarētiem iedzīvotājiem jābūt deklarētiem novadā divpadsmit mēnešus pirms pakalpojuma pieprasīšanas</w:t>
      </w:r>
    </w:p>
    <w:p w14:paraId="198DB944" w14:textId="0E070593" w:rsidR="00EE3B31" w:rsidRDefault="00EE3B31" w:rsidP="00CD407B">
      <w:pPr>
        <w:jc w:val="both"/>
        <w:textAlignment w:val="baseline"/>
        <w:rPr>
          <w:sz w:val="22"/>
          <w:szCs w:val="22"/>
        </w:rPr>
      </w:pPr>
      <w:r w:rsidRPr="00EE3B31">
        <w:rPr>
          <w:rFonts w:eastAsia="Calibri"/>
          <w:sz w:val="22"/>
          <w:szCs w:val="22"/>
          <w:lang w:eastAsia="en-US"/>
        </w:rPr>
        <w:t>**</w:t>
      </w:r>
      <w:r w:rsidRPr="00EE3B31">
        <w:rPr>
          <w:sz w:val="22"/>
          <w:szCs w:val="22"/>
        </w:rPr>
        <w:t>Pielikumā Nr. 7 5.1.3., 5.1.5., 5.4.3. punktā noteikto maksas pakalpojumu piemēro tikai gadījumos, kad persona sāk un beidz saņemt Grupu dzīvokļa pakalpojumu un to saņem nepilnu mēnesi.</w:t>
      </w:r>
    </w:p>
    <w:p w14:paraId="3E6D7E2B" w14:textId="77777777" w:rsidR="00EE3B31" w:rsidRPr="00EE3B31" w:rsidRDefault="00EE3B31" w:rsidP="00CD407B">
      <w:pPr>
        <w:jc w:val="both"/>
        <w:textAlignment w:val="baseline"/>
        <w:rPr>
          <w:sz w:val="22"/>
          <w:szCs w:val="22"/>
        </w:rPr>
      </w:pPr>
    </w:p>
    <w:p w14:paraId="46BC38BD" w14:textId="12053A2E" w:rsidR="00CD407B" w:rsidRDefault="00EE3B31" w:rsidP="00CD407B">
      <w:pPr>
        <w:pStyle w:val="Sarakstarindkopa"/>
        <w:numPr>
          <w:ilvl w:val="0"/>
          <w:numId w:val="20"/>
        </w:numPr>
        <w:ind w:hanging="720"/>
        <w:jc w:val="both"/>
        <w:textAlignment w:val="baseline"/>
      </w:pPr>
      <w:r w:rsidRPr="00EE3B31">
        <w:t>Lēmuma 5.1. punkts  stājas spēkā 2024. gada 1. aprīlī</w:t>
      </w:r>
      <w:r w:rsidR="00686079">
        <w:t>.</w:t>
      </w:r>
    </w:p>
    <w:p w14:paraId="6D0925D7" w14:textId="5AD16A49" w:rsidR="00EE3B31" w:rsidRPr="00EE3B31" w:rsidRDefault="00CD407B" w:rsidP="00CD407B">
      <w:pPr>
        <w:pStyle w:val="Sarakstarindkopa"/>
        <w:numPr>
          <w:ilvl w:val="0"/>
          <w:numId w:val="20"/>
        </w:numPr>
        <w:ind w:hanging="720"/>
        <w:jc w:val="both"/>
        <w:textAlignment w:val="baseline"/>
      </w:pPr>
      <w:r>
        <w:t>L</w:t>
      </w:r>
      <w:r w:rsidR="00EE3B31" w:rsidRPr="00EE3B31">
        <w:t>ēmuma 5.2. punkts stājas spēkā 2024. gada 1. maijā.</w:t>
      </w:r>
    </w:p>
    <w:p w14:paraId="12FD9588" w14:textId="77777777" w:rsidR="00EE3B31" w:rsidRPr="00EE3B31" w:rsidRDefault="00EE3B31" w:rsidP="00CD407B">
      <w:pPr>
        <w:ind w:left="709"/>
        <w:jc w:val="both"/>
        <w:textAlignment w:val="baseline"/>
      </w:pPr>
    </w:p>
    <w:p w14:paraId="700AD97D" w14:textId="77777777" w:rsidR="00EE3B31" w:rsidRDefault="00EE3B31" w:rsidP="00CD407B">
      <w:pPr>
        <w:widowControl w:val="0"/>
        <w:pBdr>
          <w:top w:val="nil"/>
          <w:left w:val="nil"/>
          <w:bottom w:val="nil"/>
          <w:right w:val="nil"/>
          <w:between w:val="nil"/>
        </w:pBdr>
        <w:spacing w:before="20" w:after="20"/>
        <w:jc w:val="both"/>
        <w:rPr>
          <w:rFonts w:eastAsia="Basic Roman" w:cs="Basic Roman"/>
          <w:b/>
          <w:color w:val="000000"/>
          <w:kern w:val="1"/>
          <w:szCs w:val="20"/>
          <w:lang w:eastAsia="zh-CN"/>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EC0013" w:rsidRDefault="007667AA" w:rsidP="00CD407B">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EC0013" w:rsidRDefault="00ED36C0" w:rsidP="00EC0013">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Default="00926ADD" w:rsidP="00EC0013">
      <w:pPr>
        <w:jc w:val="both"/>
      </w:pPr>
    </w:p>
    <w:p w14:paraId="5C03211C" w14:textId="77777777" w:rsidR="00EE3B31" w:rsidRPr="00EC0013" w:rsidRDefault="00EE3B31" w:rsidP="00EC0013">
      <w:pPr>
        <w:jc w:val="both"/>
      </w:pPr>
    </w:p>
    <w:p w14:paraId="17C6A482" w14:textId="77777777" w:rsidR="005A0266" w:rsidRPr="00EC0013" w:rsidRDefault="005A0266" w:rsidP="00EC0013">
      <w:pPr>
        <w:jc w:val="both"/>
      </w:pPr>
    </w:p>
    <w:p w14:paraId="1688F832" w14:textId="3A4DAB48" w:rsidR="00EE3B31" w:rsidRPr="00EE3B31" w:rsidRDefault="00EE3B31" w:rsidP="00EE3B31">
      <w:pPr>
        <w:rPr>
          <w:i/>
          <w:iCs/>
        </w:rPr>
      </w:pPr>
      <w:r w:rsidRPr="00EE3B31">
        <w:rPr>
          <w:i/>
          <w:iCs/>
        </w:rPr>
        <w:t xml:space="preserve">Pabērza 25619141 </w:t>
      </w:r>
    </w:p>
    <w:p w14:paraId="1FA65CF9" w14:textId="6963EDA7" w:rsidR="00EE3B31" w:rsidRPr="00EE3B31" w:rsidRDefault="00EE3B31" w:rsidP="00EE3B31">
      <w:pPr>
        <w:rPr>
          <w:i/>
          <w:iCs/>
        </w:rPr>
      </w:pPr>
      <w:r w:rsidRPr="00EE3B31">
        <w:rPr>
          <w:i/>
          <w:iCs/>
        </w:rPr>
        <w:t>Ankrava 29374376</w:t>
      </w:r>
    </w:p>
    <w:p w14:paraId="00A4042A" w14:textId="750D33CB" w:rsidR="001C5D95" w:rsidRPr="00E76697" w:rsidRDefault="001C5D95" w:rsidP="00EE3B31">
      <w:pPr>
        <w:jc w:val="both"/>
        <w:rPr>
          <w:i/>
          <w:kern w:val="1"/>
        </w:rPr>
      </w:pPr>
    </w:p>
    <w:sectPr w:rsidR="001C5D95" w:rsidRPr="00E76697" w:rsidSect="00EE3B3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33CAC" w14:textId="77777777" w:rsidR="00B8737C" w:rsidRDefault="00B8737C" w:rsidP="000509C7">
      <w:r>
        <w:separator/>
      </w:r>
    </w:p>
  </w:endnote>
  <w:endnote w:type="continuationSeparator" w:id="0">
    <w:p w14:paraId="7F71DAF0" w14:textId="77777777" w:rsidR="00B8737C" w:rsidRDefault="00B8737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Basic Roman">
    <w:altName w:val="Cambria"/>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5E53" w14:textId="77777777" w:rsidR="00B8737C" w:rsidRDefault="00B8737C" w:rsidP="000509C7">
      <w:r>
        <w:separator/>
      </w:r>
    </w:p>
  </w:footnote>
  <w:footnote w:type="continuationSeparator" w:id="0">
    <w:p w14:paraId="65F1F178" w14:textId="77777777" w:rsidR="00B8737C" w:rsidRDefault="00B8737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9"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4"/>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6"/>
  </w:num>
  <w:num w:numId="10">
    <w:abstractNumId w:val="11"/>
  </w:num>
  <w:num w:numId="11">
    <w:abstractNumId w:val="4"/>
  </w:num>
  <w:num w:numId="12">
    <w:abstractNumId w:val="5"/>
  </w:num>
  <w:num w:numId="13">
    <w:abstractNumId w:val="13"/>
  </w:num>
  <w:num w:numId="14">
    <w:abstractNumId w:val="3"/>
  </w:num>
  <w:num w:numId="15">
    <w:abstractNumId w:val="10"/>
  </w:num>
  <w:num w:numId="16">
    <w:abstractNumId w:val="0"/>
  </w:num>
  <w:num w:numId="17">
    <w:abstractNumId w:val="9"/>
  </w:num>
  <w:num w:numId="18">
    <w:abstractNumId w:val="16"/>
  </w:num>
  <w:num w:numId="19">
    <w:abstractNumId w:val="1"/>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23441"/>
    <w:rsid w:val="00535B47"/>
    <w:rsid w:val="00546188"/>
    <w:rsid w:val="00546227"/>
    <w:rsid w:val="005808A6"/>
    <w:rsid w:val="00585247"/>
    <w:rsid w:val="00586EB5"/>
    <w:rsid w:val="00593254"/>
    <w:rsid w:val="005A0266"/>
    <w:rsid w:val="005B2A29"/>
    <w:rsid w:val="005C2932"/>
    <w:rsid w:val="005C3FC3"/>
    <w:rsid w:val="005D6177"/>
    <w:rsid w:val="005F36B8"/>
    <w:rsid w:val="0065675C"/>
    <w:rsid w:val="0066411E"/>
    <w:rsid w:val="00665EF6"/>
    <w:rsid w:val="0068273A"/>
    <w:rsid w:val="00684CF1"/>
    <w:rsid w:val="00686079"/>
    <w:rsid w:val="006A722A"/>
    <w:rsid w:val="006C0FF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912BC"/>
    <w:rsid w:val="007A4988"/>
    <w:rsid w:val="007A7827"/>
    <w:rsid w:val="007E02F8"/>
    <w:rsid w:val="007E6FCA"/>
    <w:rsid w:val="0080709B"/>
    <w:rsid w:val="00820BE0"/>
    <w:rsid w:val="00822FF0"/>
    <w:rsid w:val="008319F2"/>
    <w:rsid w:val="00832489"/>
    <w:rsid w:val="0085185D"/>
    <w:rsid w:val="00890A98"/>
    <w:rsid w:val="008A4B1A"/>
    <w:rsid w:val="008B0EF4"/>
    <w:rsid w:val="008B56BD"/>
    <w:rsid w:val="008F33D3"/>
    <w:rsid w:val="008F3871"/>
    <w:rsid w:val="00912A4B"/>
    <w:rsid w:val="0091494C"/>
    <w:rsid w:val="00921FF1"/>
    <w:rsid w:val="00926ADD"/>
    <w:rsid w:val="00944E45"/>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8737C"/>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07B"/>
    <w:rsid w:val="00CD4B3F"/>
    <w:rsid w:val="00CE313A"/>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484011576">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3</Pages>
  <Words>4245</Words>
  <Characters>2421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120</cp:revision>
  <cp:lastPrinted>2024-02-28T16:04:00Z</cp:lastPrinted>
  <dcterms:created xsi:type="dcterms:W3CDTF">2024-02-20T07:30:00Z</dcterms:created>
  <dcterms:modified xsi:type="dcterms:W3CDTF">2024-03-29T10:34:00Z</dcterms:modified>
</cp:coreProperties>
</file>